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D0" w:rsidRPr="00164F00" w:rsidRDefault="007400D0" w:rsidP="007400D0">
      <w:pPr>
        <w:widowControl/>
        <w:spacing w:before="80"/>
        <w:jc w:val="both"/>
        <w:rPr>
          <w:sz w:val="16"/>
          <w:szCs w:val="16"/>
          <w:lang w:val="fr-FR"/>
        </w:rPr>
      </w:pPr>
    </w:p>
    <w:p w:rsidR="007400D0" w:rsidRPr="00D848EF" w:rsidRDefault="007400D0" w:rsidP="007400D0">
      <w:pPr>
        <w:pStyle w:val="Heading6"/>
        <w:keepNext w:val="0"/>
        <w:widowControl/>
        <w:jc w:val="both"/>
        <w:rPr>
          <w:smallCaps/>
          <w:lang w:val="fr-FR"/>
        </w:rPr>
      </w:pPr>
      <w:r w:rsidRPr="00D848EF">
        <w:rPr>
          <w:smallCaps/>
          <w:lang w:val="fr-FR"/>
        </w:rPr>
        <w:t xml:space="preserve">Table des </w:t>
      </w:r>
      <w:proofErr w:type="spellStart"/>
      <w:r w:rsidRPr="00D848EF">
        <w:rPr>
          <w:smallCaps/>
          <w:lang w:val="fr-FR"/>
        </w:rPr>
        <w:t>Mati</w:t>
      </w:r>
      <w:r w:rsidRPr="00D848EF">
        <w:rPr>
          <w:smallCaps/>
          <w:sz w:val="18"/>
          <w:szCs w:val="18"/>
          <w:lang w:val="fr-FR"/>
        </w:rPr>
        <w:t>È</w:t>
      </w:r>
      <w:r w:rsidRPr="00D848EF">
        <w:rPr>
          <w:smallCaps/>
          <w:lang w:val="fr-FR"/>
        </w:rPr>
        <w:t>res</w:t>
      </w:r>
      <w:proofErr w:type="spellEnd"/>
    </w:p>
    <w:p w:rsidR="007400D0" w:rsidRPr="00164F00" w:rsidRDefault="007400D0" w:rsidP="007400D0">
      <w:pPr>
        <w:pStyle w:val="Heading6"/>
        <w:keepNext w:val="0"/>
        <w:widowControl/>
        <w:jc w:val="both"/>
        <w:rPr>
          <w:smallCaps/>
          <w:sz w:val="16"/>
          <w:szCs w:val="16"/>
          <w:lang w:val="fr-FR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173"/>
        <w:gridCol w:w="546"/>
      </w:tblGrid>
      <w:tr w:rsidR="007400D0" w:rsidRPr="008B3E22" w:rsidTr="00236961">
        <w:tc>
          <w:tcPr>
            <w:tcW w:w="5173" w:type="dxa"/>
          </w:tcPr>
          <w:p w:rsidR="007400D0" w:rsidRPr="00086F8E" w:rsidRDefault="007400D0" w:rsidP="00236961">
            <w:pPr>
              <w:pStyle w:val="Heading1"/>
              <w:keepNext w:val="0"/>
              <w:widowControl/>
              <w:spacing w:before="40"/>
              <w:rPr>
                <w:b w:val="0"/>
                <w:bCs w:val="0"/>
                <w:smallCaps w:val="0"/>
              </w:rPr>
            </w:pPr>
            <w:r w:rsidRPr="00086F8E">
              <w:rPr>
                <w:bCs w:val="0"/>
                <w:smallCaps w:val="0"/>
              </w:rPr>
              <w:t>Éditorial</w:t>
            </w:r>
            <w:r w:rsidRPr="00086F8E">
              <w:rPr>
                <w:b w:val="0"/>
                <w:bCs w:val="0"/>
                <w:smallCaps w:val="0"/>
              </w:rPr>
              <w:t xml:space="preserve"> (Catherine Rodgers, </w:t>
            </w:r>
            <w:proofErr w:type="spellStart"/>
            <w:r w:rsidRPr="00086F8E">
              <w:rPr>
                <w:b w:val="0"/>
                <w:bCs w:val="0"/>
                <w:smallCaps w:val="0"/>
              </w:rPr>
              <w:t>Raynalle</w:t>
            </w:r>
            <w:proofErr w:type="spellEnd"/>
            <w:r w:rsidRPr="00086F8E">
              <w:rPr>
                <w:b w:val="0"/>
                <w:bCs w:val="0"/>
                <w:smallCaps w:val="0"/>
              </w:rPr>
              <w:t xml:space="preserve"> </w:t>
            </w:r>
            <w:proofErr w:type="spellStart"/>
            <w:r w:rsidRPr="00086F8E">
              <w:rPr>
                <w:b w:val="0"/>
                <w:bCs w:val="0"/>
                <w:smallCaps w:val="0"/>
              </w:rPr>
              <w:t>Udris</w:t>
            </w:r>
            <w:proofErr w:type="spellEnd"/>
            <w:r w:rsidRPr="00086F8E">
              <w:rPr>
                <w:b w:val="0"/>
                <w:bCs w:val="0"/>
                <w:smallCaps w:val="0"/>
              </w:rPr>
              <w:t xml:space="preserve">) </w:t>
            </w:r>
          </w:p>
        </w:tc>
        <w:tc>
          <w:tcPr>
            <w:tcW w:w="531" w:type="dxa"/>
          </w:tcPr>
          <w:p w:rsidR="007400D0" w:rsidRDefault="007400D0" w:rsidP="00236961">
            <w:pPr>
              <w:pStyle w:val="Heading1"/>
              <w:keepNext w:val="0"/>
              <w:widowControl/>
              <w:spacing w:before="4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 xml:space="preserve">  1</w:t>
            </w:r>
          </w:p>
        </w:tc>
      </w:tr>
      <w:tr w:rsidR="007400D0" w:rsidRPr="00AF095E" w:rsidTr="00236961">
        <w:tc>
          <w:tcPr>
            <w:tcW w:w="5173" w:type="dxa"/>
          </w:tcPr>
          <w:p w:rsidR="007400D0" w:rsidRPr="00086F8E" w:rsidRDefault="007400D0" w:rsidP="00236961">
            <w:pPr>
              <w:pStyle w:val="Heading1"/>
              <w:keepNext w:val="0"/>
              <w:widowControl/>
              <w:spacing w:before="120"/>
              <w:rPr>
                <w:bCs w:val="0"/>
                <w:smallCaps w:val="0"/>
              </w:rPr>
            </w:pPr>
            <w:r w:rsidRPr="00086F8E">
              <w:rPr>
                <w:bCs w:val="0"/>
                <w:smallCaps w:val="0"/>
              </w:rPr>
              <w:t xml:space="preserve">A la mémoire de Yann Andréa </w:t>
            </w:r>
            <w:r w:rsidRPr="00086F8E">
              <w:rPr>
                <w:b w:val="0"/>
                <w:bCs w:val="0"/>
                <w:smallCaps w:val="0"/>
              </w:rPr>
              <w:t>(</w:t>
            </w:r>
            <w:r w:rsidRPr="00086F8E">
              <w:rPr>
                <w:b w:val="0"/>
                <w:smallCaps w:val="0"/>
                <w:color w:val="000000"/>
              </w:rPr>
              <w:t>Nicole Couderc)</w:t>
            </w:r>
            <w:r w:rsidRPr="00086F8E">
              <w:rPr>
                <w:smallCaps w:val="0"/>
                <w:color w:val="000000"/>
              </w:rPr>
              <w:t xml:space="preserve"> 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12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 xml:space="preserve">  3</w:t>
            </w:r>
          </w:p>
        </w:tc>
      </w:tr>
      <w:tr w:rsidR="007400D0" w:rsidRPr="00C607AC" w:rsidTr="00236961">
        <w:tc>
          <w:tcPr>
            <w:tcW w:w="5173" w:type="dxa"/>
          </w:tcPr>
          <w:p w:rsidR="007400D0" w:rsidRPr="00086F8E" w:rsidRDefault="007400D0" w:rsidP="00236961">
            <w:pPr>
              <w:pStyle w:val="Heading1"/>
              <w:keepNext w:val="0"/>
              <w:widowControl/>
              <w:spacing w:before="120"/>
              <w:rPr>
                <w:bCs w:val="0"/>
                <w:smallCaps w:val="0"/>
              </w:rPr>
            </w:pPr>
            <w:r w:rsidRPr="00086F8E">
              <w:rPr>
                <w:bCs w:val="0"/>
                <w:smallCaps w:val="0"/>
              </w:rPr>
              <w:t>A noter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40"/>
              <w:rPr>
                <w:b w:val="0"/>
                <w:bCs w:val="0"/>
                <w:smallCaps w:val="0"/>
              </w:rPr>
            </w:pPr>
          </w:p>
        </w:tc>
      </w:tr>
      <w:tr w:rsidR="007400D0" w:rsidRPr="00AF095E" w:rsidTr="00236961">
        <w:tc>
          <w:tcPr>
            <w:tcW w:w="5173" w:type="dxa"/>
          </w:tcPr>
          <w:p w:rsidR="007400D0" w:rsidRPr="00514B3E" w:rsidRDefault="007400D0" w:rsidP="00236961">
            <w:pPr>
              <w:pStyle w:val="Header"/>
              <w:widowControl/>
              <w:tabs>
                <w:tab w:val="clear" w:pos="4153"/>
                <w:tab w:val="clear" w:pos="8306"/>
              </w:tabs>
              <w:spacing w:before="80"/>
              <w:jc w:val="both"/>
              <w:rPr>
                <w:bCs/>
                <w:lang w:val="fr-FR"/>
              </w:rPr>
            </w:pPr>
            <w:r w:rsidRPr="0091204D">
              <w:rPr>
                <w:sz w:val="22"/>
                <w:szCs w:val="22"/>
                <w:lang w:val="fr-FR"/>
              </w:rPr>
              <w:t>Prochaine Assemblée générale de la Société Internationale Marguerite Duras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widowControl/>
              <w:spacing w:before="8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4</w:t>
            </w:r>
          </w:p>
        </w:tc>
      </w:tr>
      <w:tr w:rsidR="007400D0" w:rsidRPr="00BD2922" w:rsidTr="00236961">
        <w:tc>
          <w:tcPr>
            <w:tcW w:w="5173" w:type="dxa"/>
          </w:tcPr>
          <w:p w:rsidR="007400D0" w:rsidRPr="00086F8E" w:rsidRDefault="007400D0" w:rsidP="00236961">
            <w:pPr>
              <w:pStyle w:val="Header"/>
              <w:widowControl/>
              <w:tabs>
                <w:tab w:val="clear" w:pos="4153"/>
                <w:tab w:val="clear" w:pos="8306"/>
              </w:tabs>
              <w:spacing w:before="120"/>
              <w:jc w:val="both"/>
              <w:rPr>
                <w:b/>
                <w:bCs/>
                <w:lang w:val="fr-FR"/>
              </w:rPr>
            </w:pPr>
            <w:proofErr w:type="spellStart"/>
            <w:r w:rsidRPr="00086F8E">
              <w:rPr>
                <w:b/>
              </w:rPr>
              <w:t>Activités</w:t>
            </w:r>
            <w:proofErr w:type="spellEnd"/>
            <w:r w:rsidRPr="00086F8E">
              <w:rPr>
                <w:b/>
              </w:rPr>
              <w:t xml:space="preserve"> </w:t>
            </w:r>
            <w:proofErr w:type="spellStart"/>
            <w:r w:rsidRPr="00086F8E">
              <w:rPr>
                <w:b/>
              </w:rPr>
              <w:t>passées</w:t>
            </w:r>
            <w:proofErr w:type="spellEnd"/>
          </w:p>
        </w:tc>
        <w:tc>
          <w:tcPr>
            <w:tcW w:w="531" w:type="dxa"/>
          </w:tcPr>
          <w:p w:rsidR="007400D0" w:rsidRPr="00874AB8" w:rsidRDefault="007400D0" w:rsidP="00236961">
            <w:pPr>
              <w:widowControl/>
              <w:rPr>
                <w:lang w:val="fr-FR"/>
              </w:rPr>
            </w:pPr>
          </w:p>
        </w:tc>
      </w:tr>
      <w:tr w:rsidR="007400D0" w:rsidRPr="00C607AC" w:rsidTr="00236961">
        <w:tc>
          <w:tcPr>
            <w:tcW w:w="5173" w:type="dxa"/>
          </w:tcPr>
          <w:p w:rsidR="007400D0" w:rsidRPr="00514B3E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smallCaps w:val="0"/>
              </w:rPr>
            </w:pPr>
            <w:r w:rsidRPr="00514B3E">
              <w:rPr>
                <w:b w:val="0"/>
                <w:bCs w:val="0"/>
                <w:smallCaps w:val="0"/>
                <w:lang w:val="fr-BE"/>
              </w:rPr>
              <w:t xml:space="preserve">Colloque de </w:t>
            </w:r>
            <w:proofErr w:type="spellStart"/>
            <w:r w:rsidRPr="00514B3E">
              <w:rPr>
                <w:b w:val="0"/>
                <w:bCs w:val="0"/>
                <w:smallCaps w:val="0"/>
                <w:lang w:val="fr-BE"/>
              </w:rPr>
              <w:t>Cerisy</w:t>
            </w:r>
            <w:proofErr w:type="spellEnd"/>
            <w:r w:rsidRPr="00514B3E">
              <w:rPr>
                <w:b w:val="0"/>
                <w:bCs w:val="0"/>
                <w:smallCaps w:val="0"/>
                <w:lang w:val="fr-BE"/>
              </w:rPr>
              <w:t xml:space="preserve"> « Marguerite Duras, Passages,</w:t>
            </w:r>
            <w:r>
              <w:rPr>
                <w:b w:val="0"/>
                <w:bCs w:val="0"/>
                <w:smallCaps w:val="0"/>
                <w:lang w:val="fr-BE"/>
              </w:rPr>
              <w:t xml:space="preserve"> croisements, rencontres » (Ph. </w:t>
            </w:r>
            <w:proofErr w:type="spellStart"/>
            <w:r w:rsidRPr="00514B3E">
              <w:rPr>
                <w:b w:val="0"/>
                <w:bCs w:val="0"/>
                <w:smallCaps w:val="0"/>
                <w:lang w:val="fr-BE"/>
              </w:rPr>
              <w:t>Pansiot</w:t>
            </w:r>
            <w:proofErr w:type="spellEnd"/>
            <w:r w:rsidRPr="00514B3E">
              <w:rPr>
                <w:b w:val="0"/>
                <w:bCs w:val="0"/>
                <w:smallCaps w:val="0"/>
                <w:lang w:val="fr-BE"/>
              </w:rPr>
              <w:t xml:space="preserve"> </w:t>
            </w:r>
            <w:proofErr w:type="spellStart"/>
            <w:r w:rsidRPr="00514B3E">
              <w:rPr>
                <w:b w:val="0"/>
                <w:bCs w:val="0"/>
                <w:smallCaps w:val="0"/>
                <w:lang w:val="fr-BE"/>
              </w:rPr>
              <w:t>Preud’homme</w:t>
            </w:r>
            <w:proofErr w:type="spellEnd"/>
            <w:r w:rsidRPr="00514B3E">
              <w:rPr>
                <w:b w:val="0"/>
                <w:bCs w:val="0"/>
                <w:smallCaps w:val="0"/>
                <w:lang w:val="fr-BE"/>
              </w:rPr>
              <w:t>)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 xml:space="preserve">  5</w:t>
            </w:r>
          </w:p>
        </w:tc>
      </w:tr>
      <w:tr w:rsidR="007400D0" w:rsidRPr="00AF095E" w:rsidTr="00236961">
        <w:tc>
          <w:tcPr>
            <w:tcW w:w="5173" w:type="dxa"/>
          </w:tcPr>
          <w:p w:rsidR="007400D0" w:rsidRPr="00514B3E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smallCaps w:val="0"/>
              </w:rPr>
            </w:pPr>
            <w:r w:rsidRPr="00514B3E">
              <w:rPr>
                <w:b w:val="0"/>
                <w:smallCaps w:val="0"/>
              </w:rPr>
              <w:t>Journée d’étude sur</w:t>
            </w:r>
            <w:r w:rsidRPr="00514B3E">
              <w:rPr>
                <w:b w:val="0"/>
                <w:i/>
                <w:smallCaps w:val="0"/>
              </w:rPr>
              <w:t xml:space="preserve"> Le Marin de Gibraltar </w:t>
            </w:r>
            <w:r>
              <w:rPr>
                <w:b w:val="0"/>
                <w:smallCaps w:val="0"/>
              </w:rPr>
              <w:t>(A. </w:t>
            </w:r>
            <w:r w:rsidRPr="00514B3E">
              <w:rPr>
                <w:b w:val="0"/>
                <w:smallCaps w:val="0"/>
              </w:rPr>
              <w:t>Lachaise)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 xml:space="preserve"> 41</w:t>
            </w:r>
          </w:p>
        </w:tc>
      </w:tr>
      <w:tr w:rsidR="007400D0" w:rsidRPr="00AF095E" w:rsidTr="00236961">
        <w:tc>
          <w:tcPr>
            <w:tcW w:w="5173" w:type="dxa"/>
          </w:tcPr>
          <w:p w:rsidR="007400D0" w:rsidRPr="003F2288" w:rsidRDefault="007400D0" w:rsidP="00236961">
            <w:pPr>
              <w:widowControl/>
              <w:spacing w:before="80"/>
              <w:jc w:val="both"/>
              <w:rPr>
                <w:color w:val="000000"/>
                <w:lang w:val="fr-BE" w:eastAsia="fr-FR"/>
              </w:rPr>
            </w:pPr>
            <w:r w:rsidRPr="003F2288">
              <w:rPr>
                <w:color w:val="000000"/>
                <w:sz w:val="22"/>
                <w:szCs w:val="22"/>
                <w:lang w:val="fr-BE" w:eastAsia="fr-FR"/>
              </w:rPr>
              <w:t xml:space="preserve">Six photographies de Françoise </w:t>
            </w:r>
            <w:proofErr w:type="spellStart"/>
            <w:r w:rsidRPr="003F2288">
              <w:rPr>
                <w:color w:val="000000"/>
                <w:sz w:val="22"/>
                <w:szCs w:val="22"/>
                <w:lang w:val="fr-BE" w:eastAsia="fr-FR"/>
              </w:rPr>
              <w:t>Nunez</w:t>
            </w:r>
            <w:proofErr w:type="spellEnd"/>
            <w:r w:rsidRPr="003F2288">
              <w:rPr>
                <w:color w:val="000000"/>
                <w:sz w:val="22"/>
                <w:szCs w:val="22"/>
                <w:lang w:val="fr-BE" w:eastAsia="fr-FR"/>
              </w:rPr>
              <w:t xml:space="preserve"> et </w:t>
            </w:r>
            <w:r w:rsidRPr="003F2288">
              <w:rPr>
                <w:i/>
                <w:color w:val="000000"/>
                <w:sz w:val="22"/>
                <w:szCs w:val="22"/>
                <w:lang w:val="fr-BE" w:eastAsia="fr-FR"/>
              </w:rPr>
              <w:t xml:space="preserve">Le Marin de Gibraltar </w:t>
            </w:r>
            <w:r w:rsidRPr="003F2288">
              <w:rPr>
                <w:color w:val="000000"/>
                <w:sz w:val="22"/>
                <w:szCs w:val="22"/>
                <w:lang w:val="fr-BE" w:eastAsia="fr-FR"/>
              </w:rPr>
              <w:t>de Marguerite Duras</w:t>
            </w:r>
            <w:r>
              <w:rPr>
                <w:color w:val="000000"/>
                <w:sz w:val="22"/>
                <w:szCs w:val="22"/>
                <w:lang w:val="fr-BE" w:eastAsia="fr-FR"/>
              </w:rPr>
              <w:t xml:space="preserve"> (J. </w:t>
            </w:r>
            <w:proofErr w:type="spellStart"/>
            <w:r w:rsidRPr="003F2288">
              <w:rPr>
                <w:color w:val="000000"/>
                <w:sz w:val="22"/>
                <w:szCs w:val="22"/>
                <w:lang w:val="fr-BE" w:eastAsia="fr-FR"/>
              </w:rPr>
              <w:t>Arrouye</w:t>
            </w:r>
            <w:proofErr w:type="spellEnd"/>
            <w:r w:rsidRPr="003F2288">
              <w:rPr>
                <w:color w:val="000000"/>
                <w:sz w:val="22"/>
                <w:szCs w:val="22"/>
                <w:lang w:val="fr-BE" w:eastAsia="fr-FR"/>
              </w:rPr>
              <w:t>)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 xml:space="preserve"> 55</w:t>
            </w:r>
          </w:p>
        </w:tc>
      </w:tr>
      <w:tr w:rsidR="007400D0" w:rsidRPr="002C0E29" w:rsidTr="00236961">
        <w:tc>
          <w:tcPr>
            <w:tcW w:w="5173" w:type="dxa"/>
          </w:tcPr>
          <w:p w:rsidR="007400D0" w:rsidRPr="001E1F08" w:rsidRDefault="007400D0" w:rsidP="00236961">
            <w:pPr>
              <w:widowControl/>
              <w:spacing w:before="80"/>
              <w:rPr>
                <w:lang w:val="fr-FR"/>
              </w:rPr>
            </w:pPr>
            <w:r w:rsidRPr="001E1F08">
              <w:rPr>
                <w:color w:val="000000"/>
                <w:sz w:val="22"/>
                <w:szCs w:val="22"/>
                <w:lang w:val="fr-FR" w:eastAsia="fr-FR"/>
              </w:rPr>
              <w:t>Marguerite Duras, 19</w:t>
            </w:r>
            <w:r>
              <w:rPr>
                <w:color w:val="000000"/>
                <w:sz w:val="22"/>
                <w:szCs w:val="22"/>
                <w:vertAlign w:val="superscript"/>
                <w:lang w:val="fr-FR" w:eastAsia="fr-FR"/>
              </w:rPr>
              <w:t>èmes</w:t>
            </w:r>
            <w:r w:rsidRPr="001E1F08">
              <w:rPr>
                <w:color w:val="000000"/>
                <w:sz w:val="22"/>
                <w:szCs w:val="22"/>
                <w:lang w:val="fr-FR" w:eastAsia="fr-FR"/>
              </w:rPr>
              <w:t xml:space="preserve"> rencontres de Trouville </w:t>
            </w:r>
            <w:r>
              <w:rPr>
                <w:color w:val="000000"/>
                <w:sz w:val="22"/>
                <w:szCs w:val="22"/>
                <w:lang w:val="fr-FR" w:eastAsia="fr-FR"/>
              </w:rPr>
              <w:t>(D. </w:t>
            </w:r>
            <w:proofErr w:type="spellStart"/>
            <w:r w:rsidRPr="001E1F08">
              <w:rPr>
                <w:color w:val="000000"/>
                <w:sz w:val="22"/>
                <w:szCs w:val="22"/>
                <w:lang w:val="fr-FR" w:eastAsia="fr-FR"/>
              </w:rPr>
              <w:t>Chouraqui</w:t>
            </w:r>
            <w:proofErr w:type="spellEnd"/>
            <w:r w:rsidRPr="001E1F08">
              <w:rPr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 xml:space="preserve"> 60</w:t>
            </w:r>
          </w:p>
        </w:tc>
      </w:tr>
      <w:tr w:rsidR="007400D0" w:rsidRPr="00AF095E" w:rsidTr="00236961">
        <w:tc>
          <w:tcPr>
            <w:tcW w:w="5173" w:type="dxa"/>
          </w:tcPr>
          <w:p w:rsidR="007400D0" w:rsidRPr="00C607AC" w:rsidRDefault="007400D0" w:rsidP="00236961">
            <w:pPr>
              <w:widowControl/>
              <w:spacing w:before="80"/>
              <w:jc w:val="both"/>
              <w:rPr>
                <w:bCs/>
                <w:i/>
                <w:lang w:val="fr-FR"/>
              </w:rPr>
            </w:pPr>
            <w:r w:rsidRPr="003F2288">
              <w:rPr>
                <w:sz w:val="22"/>
                <w:szCs w:val="22"/>
                <w:lang w:val="fr-BE"/>
              </w:rPr>
              <w:t>Exposition « Duras Song. Portrait d’une écriture » (C</w:t>
            </w:r>
            <w:r>
              <w:rPr>
                <w:lang w:val="fr-BE"/>
              </w:rPr>
              <w:t>. </w:t>
            </w:r>
            <w:proofErr w:type="spellStart"/>
            <w:r w:rsidRPr="003F2288">
              <w:rPr>
                <w:sz w:val="22"/>
                <w:szCs w:val="22"/>
                <w:lang w:val="fr-BE"/>
              </w:rPr>
              <w:t>Meurée</w:t>
            </w:r>
            <w:proofErr w:type="spellEnd"/>
            <w:r w:rsidRPr="003F2288">
              <w:rPr>
                <w:sz w:val="22"/>
                <w:szCs w:val="22"/>
                <w:lang w:val="fr-BE"/>
              </w:rPr>
              <w:t>)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widowControl/>
              <w:spacing w:before="8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64</w:t>
            </w:r>
          </w:p>
        </w:tc>
      </w:tr>
      <w:tr w:rsidR="007400D0" w:rsidRPr="00390282" w:rsidTr="00236961">
        <w:tc>
          <w:tcPr>
            <w:tcW w:w="5173" w:type="dxa"/>
          </w:tcPr>
          <w:p w:rsidR="007400D0" w:rsidRPr="00390282" w:rsidRDefault="007400D0" w:rsidP="00236961">
            <w:pPr>
              <w:spacing w:before="80"/>
              <w:rPr>
                <w:lang w:val="fr-BE"/>
              </w:rPr>
            </w:pPr>
            <w:r w:rsidRPr="00390282">
              <w:rPr>
                <w:lang w:val="fr-FR" w:eastAsia="fr-BE"/>
              </w:rPr>
              <w:t>Colloque « J’ai tout vu » / « </w:t>
            </w:r>
            <w:proofErr w:type="spellStart"/>
            <w:r w:rsidRPr="00390282">
              <w:rPr>
                <w:lang w:val="fr-FR" w:eastAsia="fr-BE"/>
              </w:rPr>
              <w:t>Mindent</w:t>
            </w:r>
            <w:proofErr w:type="spellEnd"/>
            <w:r w:rsidRPr="00390282">
              <w:rPr>
                <w:lang w:val="fr-FR" w:eastAsia="fr-BE"/>
              </w:rPr>
              <w:t xml:space="preserve"> </w:t>
            </w:r>
            <w:proofErr w:type="spellStart"/>
            <w:r w:rsidRPr="00390282">
              <w:rPr>
                <w:lang w:val="fr-FR" w:eastAsia="fr-BE"/>
              </w:rPr>
              <w:t>láttam</w:t>
            </w:r>
            <w:proofErr w:type="spellEnd"/>
            <w:r w:rsidRPr="00390282">
              <w:rPr>
                <w:lang w:val="fr-FR" w:eastAsia="fr-BE"/>
              </w:rPr>
              <w:t> » (</w:t>
            </w:r>
            <w:proofErr w:type="spellStart"/>
            <w:r w:rsidRPr="00390282">
              <w:rPr>
                <w:lang w:val="fr-FR" w:eastAsia="fr-BE"/>
              </w:rPr>
              <w:t>Zs</w:t>
            </w:r>
            <w:proofErr w:type="spellEnd"/>
            <w:r w:rsidRPr="00390282">
              <w:rPr>
                <w:lang w:val="fr-FR" w:eastAsia="fr-BE"/>
              </w:rPr>
              <w:t>.</w:t>
            </w:r>
            <w:r>
              <w:rPr>
                <w:lang w:val="fr-FR" w:eastAsia="fr-BE"/>
              </w:rPr>
              <w:t> </w:t>
            </w:r>
            <w:r w:rsidRPr="00390282">
              <w:rPr>
                <w:lang w:val="fr-FR" w:eastAsia="fr-BE"/>
              </w:rPr>
              <w:t>Ila-Horváth)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 xml:space="preserve"> 67</w:t>
            </w:r>
          </w:p>
        </w:tc>
      </w:tr>
      <w:tr w:rsidR="007400D0" w:rsidRPr="00AF095E" w:rsidTr="00236961">
        <w:tc>
          <w:tcPr>
            <w:tcW w:w="5173" w:type="dxa"/>
          </w:tcPr>
          <w:p w:rsidR="007400D0" w:rsidRPr="00514B3E" w:rsidRDefault="007400D0" w:rsidP="00236961">
            <w:pPr>
              <w:pStyle w:val="Heading1"/>
              <w:keepNext w:val="0"/>
              <w:widowControl/>
              <w:spacing w:before="80"/>
              <w:rPr>
                <w:smallCaps w:val="0"/>
              </w:rPr>
            </w:pPr>
            <w:r w:rsidRPr="00514B3E">
              <w:rPr>
                <w:rStyle w:val="Strong"/>
                <w:smallCaps w:val="0"/>
                <w:lang w:val="fr-BE"/>
              </w:rPr>
              <w:t>Exposition « Marguerite Duras, femme cinéaste » (C.</w:t>
            </w:r>
            <w:r>
              <w:rPr>
                <w:rStyle w:val="Strong"/>
                <w:smallCaps w:val="0"/>
                <w:lang w:val="fr-BE"/>
              </w:rPr>
              <w:t> </w:t>
            </w:r>
            <w:proofErr w:type="spellStart"/>
            <w:r w:rsidRPr="00514B3E">
              <w:rPr>
                <w:rStyle w:val="Strong"/>
                <w:smallCaps w:val="0"/>
                <w:lang w:val="fr-BE"/>
              </w:rPr>
              <w:t>Meurée</w:t>
            </w:r>
            <w:proofErr w:type="spellEnd"/>
            <w:r w:rsidRPr="00514B3E">
              <w:rPr>
                <w:rStyle w:val="Strong"/>
                <w:smallCaps w:val="0"/>
                <w:lang w:val="fr-BE"/>
              </w:rPr>
              <w:t>)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 xml:space="preserve"> 73</w:t>
            </w:r>
          </w:p>
        </w:tc>
      </w:tr>
      <w:tr w:rsidR="007400D0" w:rsidRPr="00AF095E" w:rsidTr="00236961">
        <w:tc>
          <w:tcPr>
            <w:tcW w:w="5173" w:type="dxa"/>
          </w:tcPr>
          <w:p w:rsidR="007400D0" w:rsidRPr="00514B3E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smallCaps w:val="0"/>
              </w:rPr>
            </w:pPr>
            <w:r w:rsidRPr="00514B3E">
              <w:rPr>
                <w:b w:val="0"/>
                <w:smallCaps w:val="0"/>
              </w:rPr>
              <w:t>Co</w:t>
            </w:r>
            <w:r>
              <w:rPr>
                <w:b w:val="0"/>
                <w:smallCaps w:val="0"/>
              </w:rPr>
              <w:t xml:space="preserve">lloque « Duras infinie » (A.-M. </w:t>
            </w:r>
            <w:proofErr w:type="spellStart"/>
            <w:r>
              <w:rPr>
                <w:b w:val="0"/>
                <w:smallCaps w:val="0"/>
              </w:rPr>
              <w:t>Reboul</w:t>
            </w:r>
            <w:proofErr w:type="spellEnd"/>
            <w:r>
              <w:rPr>
                <w:b w:val="0"/>
                <w:smallCaps w:val="0"/>
              </w:rPr>
              <w:t xml:space="preserve"> et S. H. </w:t>
            </w:r>
            <w:proofErr w:type="spellStart"/>
            <w:r w:rsidRPr="00514B3E">
              <w:rPr>
                <w:b w:val="0"/>
                <w:smallCaps w:val="0"/>
              </w:rPr>
              <w:t>Joo</w:t>
            </w:r>
            <w:proofErr w:type="spellEnd"/>
            <w:r w:rsidRPr="00514B3E">
              <w:rPr>
                <w:b w:val="0"/>
                <w:smallCaps w:val="0"/>
              </w:rPr>
              <w:t>)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 xml:space="preserve"> 75</w:t>
            </w:r>
          </w:p>
        </w:tc>
      </w:tr>
      <w:tr w:rsidR="007400D0" w:rsidRPr="00514B3E" w:rsidTr="00236961">
        <w:tc>
          <w:tcPr>
            <w:tcW w:w="5173" w:type="dxa"/>
          </w:tcPr>
          <w:p w:rsidR="007400D0" w:rsidRPr="00514B3E" w:rsidRDefault="007400D0" w:rsidP="00236961">
            <w:pPr>
              <w:pStyle w:val="Standard"/>
              <w:widowControl/>
              <w:spacing w:before="80"/>
              <w:ind w:right="477"/>
              <w:rPr>
                <w:rFonts w:cs="Times New Roman"/>
                <w:sz w:val="22"/>
                <w:szCs w:val="22"/>
                <w:lang w:val="en-GB"/>
              </w:rPr>
            </w:pPr>
            <w:proofErr w:type="spellStart"/>
            <w:r w:rsidRPr="007677A4">
              <w:rPr>
                <w:rFonts w:cs="Times New Roman"/>
                <w:bCs/>
                <w:iCs/>
                <w:sz w:val="22"/>
                <w:szCs w:val="22"/>
                <w:lang w:val="en-GB" w:eastAsia="fr-BE"/>
              </w:rPr>
              <w:t>Colloque</w:t>
            </w:r>
            <w:proofErr w:type="spellEnd"/>
            <w:r w:rsidRPr="007677A4">
              <w:rPr>
                <w:rFonts w:cs="Times New Roman"/>
                <w:bCs/>
                <w:iCs/>
                <w:sz w:val="22"/>
                <w:szCs w:val="22"/>
                <w:lang w:val="en-GB" w:eastAsia="fr-BE"/>
              </w:rPr>
              <w:t xml:space="preserve"> ‘Stage Presence: Marguerite </w:t>
            </w:r>
            <w:proofErr w:type="spellStart"/>
            <w:r w:rsidRPr="007677A4">
              <w:rPr>
                <w:rFonts w:cs="Times New Roman"/>
                <w:bCs/>
                <w:iCs/>
                <w:sz w:val="22"/>
                <w:szCs w:val="22"/>
                <w:lang w:val="en-GB" w:eastAsia="fr-BE"/>
              </w:rPr>
              <w:t>Duras</w:t>
            </w:r>
            <w:proofErr w:type="spellEnd"/>
            <w:r w:rsidRPr="007677A4">
              <w:rPr>
                <w:rFonts w:cs="Times New Roman"/>
                <w:bCs/>
                <w:iCs/>
                <w:sz w:val="22"/>
                <w:szCs w:val="22"/>
                <w:lang w:val="en-GB" w:eastAsia="fr-BE"/>
              </w:rPr>
              <w:t xml:space="preserve"> and the Theatre’ (M.</w:t>
            </w:r>
            <w:r>
              <w:rPr>
                <w:rFonts w:cs="Times New Roman"/>
                <w:bCs/>
                <w:iCs/>
                <w:sz w:val="22"/>
                <w:szCs w:val="22"/>
                <w:lang w:val="en-GB" w:eastAsia="fr-BE"/>
              </w:rPr>
              <w:t xml:space="preserve"> </w:t>
            </w:r>
            <w:r w:rsidRPr="007677A4">
              <w:rPr>
                <w:rFonts w:cs="Times New Roman"/>
                <w:bCs/>
                <w:iCs/>
                <w:sz w:val="22"/>
                <w:szCs w:val="22"/>
                <w:lang w:val="en-GB" w:eastAsia="fr-BE"/>
              </w:rPr>
              <w:t>N</w:t>
            </w:r>
            <w:proofErr w:type="spellStart"/>
            <w:r w:rsidRPr="003F2288">
              <w:rPr>
                <w:rFonts w:cs="Times New Roman"/>
                <w:bCs/>
                <w:iCs/>
                <w:sz w:val="22"/>
                <w:szCs w:val="22"/>
                <w:lang w:val="en-US" w:eastAsia="fr-BE"/>
              </w:rPr>
              <w:t>oonan</w:t>
            </w:r>
            <w:proofErr w:type="spellEnd"/>
            <w:r w:rsidRPr="003F2288">
              <w:rPr>
                <w:rFonts w:cs="Times New Roman"/>
                <w:bCs/>
                <w:iCs/>
                <w:sz w:val="22"/>
                <w:szCs w:val="22"/>
                <w:lang w:val="en-US" w:eastAsia="fr-BE"/>
              </w:rPr>
              <w:t>)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widowControl/>
              <w:spacing w:before="80"/>
            </w:pPr>
            <w:r>
              <w:rPr>
                <w:sz w:val="22"/>
                <w:szCs w:val="22"/>
              </w:rPr>
              <w:t>109</w:t>
            </w:r>
          </w:p>
        </w:tc>
      </w:tr>
      <w:tr w:rsidR="007400D0" w:rsidRPr="00AF095E" w:rsidTr="00236961">
        <w:tc>
          <w:tcPr>
            <w:tcW w:w="5173" w:type="dxa"/>
          </w:tcPr>
          <w:p w:rsidR="007400D0" w:rsidRPr="00C607AC" w:rsidRDefault="007400D0" w:rsidP="00236961">
            <w:pPr>
              <w:pStyle w:val="BodyText"/>
              <w:widowControl/>
              <w:spacing w:before="80"/>
              <w:rPr>
                <w:b/>
                <w:bCs/>
              </w:rPr>
            </w:pPr>
            <w:r w:rsidRPr="003F2288">
              <w:rPr>
                <w:sz w:val="22"/>
                <w:szCs w:val="22"/>
                <w:lang w:val="fr-BE"/>
              </w:rPr>
              <w:t>Festival « Visages du Camb</w:t>
            </w:r>
            <w:r>
              <w:rPr>
                <w:sz w:val="22"/>
                <w:szCs w:val="22"/>
                <w:lang w:val="fr-BE"/>
              </w:rPr>
              <w:t xml:space="preserve">odge – Images d’Indochine » (C. </w:t>
            </w:r>
            <w:proofErr w:type="spellStart"/>
            <w:r w:rsidRPr="003F2288">
              <w:rPr>
                <w:sz w:val="22"/>
                <w:szCs w:val="22"/>
                <w:lang w:val="fr-BE"/>
              </w:rPr>
              <w:t>Gottesman</w:t>
            </w:r>
            <w:proofErr w:type="spellEnd"/>
            <w:r w:rsidRPr="003F2288">
              <w:rPr>
                <w:sz w:val="22"/>
                <w:szCs w:val="22"/>
                <w:lang w:val="fr-BE"/>
              </w:rPr>
              <w:t>)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111</w:t>
            </w:r>
          </w:p>
        </w:tc>
      </w:tr>
      <w:tr w:rsidR="007400D0" w:rsidRPr="00AF095E" w:rsidTr="00236961">
        <w:tc>
          <w:tcPr>
            <w:tcW w:w="5173" w:type="dxa"/>
          </w:tcPr>
          <w:p w:rsidR="007400D0" w:rsidRPr="00C607AC" w:rsidRDefault="007400D0" w:rsidP="00236961">
            <w:pPr>
              <w:pStyle w:val="BodyText"/>
              <w:widowControl/>
              <w:spacing w:before="80"/>
              <w:rPr>
                <w:b/>
              </w:rPr>
            </w:pPr>
            <w:r w:rsidRPr="003F2288">
              <w:rPr>
                <w:sz w:val="22"/>
                <w:szCs w:val="22"/>
                <w:lang w:val="fr-BE"/>
              </w:rPr>
              <w:t>Colloque « </w:t>
            </w:r>
            <w:r w:rsidRPr="003F2288">
              <w:rPr>
                <w:bCs/>
                <w:iCs/>
                <w:sz w:val="22"/>
                <w:szCs w:val="22"/>
                <w:lang w:val="fr-BE"/>
              </w:rPr>
              <w:t>Le Mythe Duras. Cent ans, sans temps</w:t>
            </w:r>
            <w:r w:rsidRPr="003F2288">
              <w:rPr>
                <w:bCs/>
                <w:i/>
                <w:iCs/>
                <w:sz w:val="22"/>
                <w:szCs w:val="22"/>
                <w:lang w:val="fr-BE"/>
              </w:rPr>
              <w:t xml:space="preserve"> » </w:t>
            </w:r>
            <w:r w:rsidRPr="003F2288">
              <w:rPr>
                <w:bCs/>
                <w:iCs/>
                <w:sz w:val="22"/>
                <w:szCs w:val="22"/>
                <w:lang w:val="fr-BE"/>
              </w:rPr>
              <w:t>(C. </w:t>
            </w:r>
            <w:proofErr w:type="spellStart"/>
            <w:r w:rsidRPr="003F2288">
              <w:rPr>
                <w:bCs/>
                <w:iCs/>
                <w:sz w:val="22"/>
                <w:szCs w:val="22"/>
                <w:lang w:val="fr-BE"/>
              </w:rPr>
              <w:t>Gottesman</w:t>
            </w:r>
            <w:proofErr w:type="spellEnd"/>
            <w:r w:rsidRPr="003F2288">
              <w:rPr>
                <w:bCs/>
                <w:iCs/>
                <w:sz w:val="22"/>
                <w:szCs w:val="22"/>
                <w:lang w:val="fr-BE"/>
              </w:rPr>
              <w:t>)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112</w:t>
            </w:r>
          </w:p>
        </w:tc>
      </w:tr>
      <w:tr w:rsidR="007400D0" w:rsidRPr="009301FC" w:rsidTr="00236961">
        <w:tc>
          <w:tcPr>
            <w:tcW w:w="5173" w:type="dxa"/>
          </w:tcPr>
          <w:p w:rsidR="007400D0" w:rsidRPr="007C4CE0" w:rsidRDefault="007400D0" w:rsidP="00236961">
            <w:pPr>
              <w:pStyle w:val="BodyText"/>
              <w:widowControl/>
              <w:spacing w:before="120"/>
              <w:rPr>
                <w:b/>
                <w:bCs/>
              </w:rPr>
            </w:pPr>
            <w:r w:rsidRPr="007C4CE0">
              <w:rPr>
                <w:b/>
              </w:rPr>
              <w:t>Vient de paraître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</w:p>
        </w:tc>
      </w:tr>
      <w:tr w:rsidR="007400D0" w:rsidRPr="00AF095E" w:rsidTr="00236961">
        <w:tc>
          <w:tcPr>
            <w:tcW w:w="5173" w:type="dxa"/>
          </w:tcPr>
          <w:p w:rsidR="007400D0" w:rsidRPr="007C4CE0" w:rsidRDefault="007400D0" w:rsidP="00236961">
            <w:pPr>
              <w:pStyle w:val="BodyText"/>
              <w:widowControl/>
              <w:spacing w:before="80"/>
            </w:pPr>
            <w:r w:rsidRPr="007C4CE0">
              <w:rPr>
                <w:sz w:val="22"/>
                <w:szCs w:val="22"/>
              </w:rPr>
              <w:t>Appel aux membres pour comptes rendus à venir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120</w:t>
            </w:r>
          </w:p>
        </w:tc>
      </w:tr>
      <w:tr w:rsidR="007400D0" w:rsidRPr="00AB3A6C" w:rsidTr="00236961">
        <w:tc>
          <w:tcPr>
            <w:tcW w:w="5173" w:type="dxa"/>
          </w:tcPr>
          <w:p w:rsidR="007400D0" w:rsidRPr="00C607AC" w:rsidRDefault="007400D0" w:rsidP="00236961">
            <w:pPr>
              <w:pStyle w:val="Heading1"/>
              <w:keepNext w:val="0"/>
              <w:widowControl/>
              <w:spacing w:before="120"/>
              <w:rPr>
                <w:smallCaps w:val="0"/>
              </w:rPr>
            </w:pPr>
            <w:r w:rsidRPr="00C607AC">
              <w:rPr>
                <w:smallCaps w:val="0"/>
              </w:rPr>
              <w:t xml:space="preserve">Comptes rendus 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</w:p>
        </w:tc>
      </w:tr>
      <w:tr w:rsidR="007400D0" w:rsidRPr="00D50545" w:rsidTr="00236961">
        <w:tc>
          <w:tcPr>
            <w:tcW w:w="5173" w:type="dxa"/>
          </w:tcPr>
          <w:p w:rsidR="007400D0" w:rsidRPr="00D50545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smallCaps w:val="0"/>
              </w:rPr>
            </w:pPr>
            <w:r w:rsidRPr="00B05E83">
              <w:rPr>
                <w:b w:val="0"/>
                <w:bCs w:val="0"/>
                <w:i/>
                <w:iCs/>
                <w:smallCaps w:val="0"/>
              </w:rPr>
              <w:t>Deauville la mort</w:t>
            </w:r>
            <w:r w:rsidRPr="00D50545">
              <w:rPr>
                <w:b w:val="0"/>
                <w:bCs w:val="0"/>
                <w:smallCaps w:val="0"/>
              </w:rPr>
              <w:t>, Marguerite Duras (</w:t>
            </w:r>
            <w:r w:rsidRPr="00D50545">
              <w:rPr>
                <w:b w:val="0"/>
                <w:smallCaps w:val="0"/>
              </w:rPr>
              <w:t>P</w:t>
            </w:r>
            <w:r>
              <w:rPr>
                <w:b w:val="0"/>
                <w:smallCaps w:val="0"/>
              </w:rPr>
              <w:t>h</w:t>
            </w:r>
            <w:r w:rsidRPr="00D50545">
              <w:rPr>
                <w:b w:val="0"/>
                <w:smallCaps w:val="0"/>
              </w:rPr>
              <w:t xml:space="preserve">. </w:t>
            </w:r>
            <w:proofErr w:type="spellStart"/>
            <w:r w:rsidRPr="00D50545">
              <w:rPr>
                <w:b w:val="0"/>
                <w:smallCaps w:val="0"/>
              </w:rPr>
              <w:t>Pansiot</w:t>
            </w:r>
            <w:proofErr w:type="spellEnd"/>
            <w:r w:rsidRPr="00D50545">
              <w:rPr>
                <w:b w:val="0"/>
                <w:smallCaps w:val="0"/>
              </w:rPr>
              <w:t xml:space="preserve"> </w:t>
            </w:r>
            <w:proofErr w:type="spellStart"/>
            <w:r w:rsidRPr="00D50545">
              <w:rPr>
                <w:b w:val="0"/>
                <w:smallCaps w:val="0"/>
              </w:rPr>
              <w:t>Preud’homme</w:t>
            </w:r>
            <w:proofErr w:type="spellEnd"/>
            <w:r w:rsidRPr="00D50545">
              <w:rPr>
                <w:b w:val="0"/>
                <w:smallCaps w:val="0"/>
              </w:rPr>
              <w:t>)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121</w:t>
            </w:r>
          </w:p>
        </w:tc>
      </w:tr>
      <w:tr w:rsidR="007400D0" w:rsidRPr="00AF095E" w:rsidTr="00236961">
        <w:tc>
          <w:tcPr>
            <w:tcW w:w="5173" w:type="dxa"/>
          </w:tcPr>
          <w:p w:rsidR="007400D0" w:rsidRPr="00B05E83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smallCaps w:val="0"/>
              </w:rPr>
            </w:pPr>
            <w:r w:rsidRPr="00B05E83">
              <w:rPr>
                <w:b w:val="0"/>
                <w:i/>
                <w:smallCaps w:val="0"/>
              </w:rPr>
              <w:t>Les Orient(s) de Marguerite Duras,</w:t>
            </w:r>
            <w:r w:rsidRPr="00B05E83">
              <w:rPr>
                <w:b w:val="0"/>
                <w:smallCaps w:val="0"/>
              </w:rPr>
              <w:t xml:space="preserve"> Florence de </w:t>
            </w:r>
            <w:proofErr w:type="spellStart"/>
            <w:r w:rsidRPr="00B05E83">
              <w:rPr>
                <w:b w:val="0"/>
                <w:smallCaps w:val="0"/>
              </w:rPr>
              <w:t>Chalonge</w:t>
            </w:r>
            <w:proofErr w:type="spellEnd"/>
            <w:r w:rsidRPr="00B05E83">
              <w:rPr>
                <w:b w:val="0"/>
                <w:smallCaps w:val="0"/>
              </w:rPr>
              <w:t xml:space="preserve">, Yann </w:t>
            </w:r>
            <w:proofErr w:type="spellStart"/>
            <w:r w:rsidRPr="00B05E83">
              <w:rPr>
                <w:b w:val="0"/>
                <w:smallCaps w:val="0"/>
              </w:rPr>
              <w:t>Mével</w:t>
            </w:r>
            <w:proofErr w:type="spellEnd"/>
            <w:r w:rsidRPr="00B05E83">
              <w:rPr>
                <w:b w:val="0"/>
                <w:smallCaps w:val="0"/>
              </w:rPr>
              <w:t xml:space="preserve"> et Akiko Ueda (L. </w:t>
            </w:r>
            <w:proofErr w:type="spellStart"/>
            <w:r w:rsidRPr="00B05E83">
              <w:rPr>
                <w:b w:val="0"/>
                <w:smallCaps w:val="0"/>
              </w:rPr>
              <w:t>Groff</w:t>
            </w:r>
            <w:proofErr w:type="spellEnd"/>
            <w:r w:rsidRPr="00B05E83">
              <w:rPr>
                <w:b w:val="0"/>
                <w:smallCaps w:val="0"/>
              </w:rPr>
              <w:t>)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123</w:t>
            </w:r>
          </w:p>
        </w:tc>
      </w:tr>
      <w:tr w:rsidR="007400D0" w:rsidRPr="00AF095E" w:rsidTr="00236961">
        <w:tc>
          <w:tcPr>
            <w:tcW w:w="5173" w:type="dxa"/>
          </w:tcPr>
          <w:p w:rsidR="007400D0" w:rsidRPr="00B05E83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smallCaps w:val="0"/>
                <w:lang w:val="pt-BR"/>
              </w:rPr>
            </w:pPr>
            <w:r w:rsidRPr="00B05E83">
              <w:rPr>
                <w:b w:val="0"/>
                <w:i/>
                <w:smallCaps w:val="0"/>
                <w:lang w:val="pt-BR"/>
              </w:rPr>
              <w:t>Marguerite Duras, Trajetória da mulher, desejo infinito</w:t>
            </w:r>
            <w:r w:rsidRPr="00B05E83">
              <w:rPr>
                <w:b w:val="0"/>
                <w:smallCaps w:val="0"/>
                <w:lang w:val="pt-BR"/>
              </w:rPr>
              <w:t>,</w:t>
            </w:r>
            <w:r w:rsidRPr="00B05E83">
              <w:rPr>
                <w:b w:val="0"/>
                <w:i/>
                <w:smallCaps w:val="0"/>
                <w:lang w:val="pt-BR"/>
              </w:rPr>
              <w:t xml:space="preserve"> </w:t>
            </w:r>
            <w:r w:rsidRPr="00B05E83">
              <w:rPr>
                <w:b w:val="0"/>
                <w:smallCaps w:val="0"/>
                <w:lang w:val="pt-BR"/>
              </w:rPr>
              <w:t>Maria Cristina Vianna Kuntz (L. Camerini)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  <w:lang w:val="pt-BR"/>
              </w:rPr>
            </w:pPr>
            <w:r>
              <w:rPr>
                <w:b w:val="0"/>
                <w:bCs w:val="0"/>
                <w:smallCaps w:val="0"/>
                <w:lang w:val="pt-BR"/>
              </w:rPr>
              <w:t>135</w:t>
            </w:r>
          </w:p>
        </w:tc>
      </w:tr>
      <w:tr w:rsidR="007400D0" w:rsidRPr="00AF095E" w:rsidTr="00236961">
        <w:tc>
          <w:tcPr>
            <w:tcW w:w="5173" w:type="dxa"/>
          </w:tcPr>
          <w:p w:rsidR="007400D0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i/>
                <w:smallCaps w:val="0"/>
              </w:rPr>
            </w:pPr>
          </w:p>
          <w:p w:rsidR="007400D0" w:rsidRPr="00B05E83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smallCaps w:val="0"/>
              </w:rPr>
            </w:pPr>
            <w:r w:rsidRPr="00B05E83">
              <w:rPr>
                <w:b w:val="0"/>
                <w:i/>
                <w:smallCaps w:val="0"/>
              </w:rPr>
              <w:t>Marguerite Duras à vingt ans : l’amante</w:t>
            </w:r>
            <w:r w:rsidRPr="00B05E83">
              <w:rPr>
                <w:b w:val="0"/>
                <w:smallCaps w:val="0"/>
              </w:rPr>
              <w:t xml:space="preserve">, Marie-Christine </w:t>
            </w:r>
            <w:proofErr w:type="spellStart"/>
            <w:r w:rsidRPr="00B05E83">
              <w:rPr>
                <w:b w:val="0"/>
                <w:smallCaps w:val="0"/>
              </w:rPr>
              <w:t>Jeanniot</w:t>
            </w:r>
            <w:proofErr w:type="spellEnd"/>
            <w:r w:rsidRPr="00B05E83">
              <w:rPr>
                <w:b w:val="0"/>
                <w:smallCaps w:val="0"/>
              </w:rPr>
              <w:t xml:space="preserve"> (D. </w:t>
            </w:r>
            <w:proofErr w:type="spellStart"/>
            <w:r w:rsidRPr="00B05E83">
              <w:rPr>
                <w:b w:val="0"/>
                <w:smallCaps w:val="0"/>
              </w:rPr>
              <w:t>Corpelet</w:t>
            </w:r>
            <w:proofErr w:type="spellEnd"/>
            <w:r w:rsidRPr="00B05E83">
              <w:rPr>
                <w:b w:val="0"/>
                <w:smallCaps w:val="0"/>
              </w:rPr>
              <w:t>)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</w:p>
          <w:p w:rsidR="007400D0" w:rsidRPr="00874AB8" w:rsidRDefault="007400D0" w:rsidP="00236961">
            <w:pPr>
              <w:spacing w:before="8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140</w:t>
            </w:r>
          </w:p>
        </w:tc>
      </w:tr>
      <w:tr w:rsidR="007400D0" w:rsidRPr="00AF095E" w:rsidTr="00236961">
        <w:tc>
          <w:tcPr>
            <w:tcW w:w="5173" w:type="dxa"/>
          </w:tcPr>
          <w:p w:rsidR="007400D0" w:rsidRPr="00B05E83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smallCaps w:val="0"/>
              </w:rPr>
            </w:pPr>
            <w:r w:rsidRPr="00B05E83">
              <w:rPr>
                <w:b w:val="0"/>
                <w:i/>
                <w:smallCaps w:val="0"/>
              </w:rPr>
              <w:t>Aimer Duras - Marguerite aux semelles d’eau et de vent</w:t>
            </w:r>
            <w:r w:rsidRPr="00B05E83">
              <w:rPr>
                <w:b w:val="0"/>
                <w:smallCaps w:val="0"/>
              </w:rPr>
              <w:t xml:space="preserve">, Christian </w:t>
            </w:r>
            <w:proofErr w:type="spellStart"/>
            <w:r w:rsidRPr="00B05E83">
              <w:rPr>
                <w:b w:val="0"/>
                <w:smallCaps w:val="0"/>
              </w:rPr>
              <w:t>Jouvenot</w:t>
            </w:r>
            <w:proofErr w:type="spellEnd"/>
            <w:r w:rsidRPr="00B05E83">
              <w:rPr>
                <w:b w:val="0"/>
                <w:smallCaps w:val="0"/>
              </w:rPr>
              <w:t xml:space="preserve"> (M. C. V. </w:t>
            </w:r>
            <w:proofErr w:type="spellStart"/>
            <w:r w:rsidRPr="00B05E83">
              <w:rPr>
                <w:b w:val="0"/>
                <w:smallCaps w:val="0"/>
              </w:rPr>
              <w:t>Kuntz</w:t>
            </w:r>
            <w:proofErr w:type="spellEnd"/>
            <w:r w:rsidRPr="00B05E83">
              <w:rPr>
                <w:b w:val="0"/>
                <w:smallCaps w:val="0"/>
              </w:rPr>
              <w:t>)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143</w:t>
            </w:r>
          </w:p>
        </w:tc>
      </w:tr>
      <w:tr w:rsidR="007400D0" w:rsidRPr="00AF095E" w:rsidTr="00236961">
        <w:tc>
          <w:tcPr>
            <w:tcW w:w="5173" w:type="dxa"/>
          </w:tcPr>
          <w:p w:rsidR="007400D0" w:rsidRPr="00B05E83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smallCaps w:val="0"/>
              </w:rPr>
            </w:pPr>
            <w:r w:rsidRPr="00B05E83">
              <w:rPr>
                <w:b w:val="0"/>
                <w:i/>
                <w:smallCaps w:val="0"/>
              </w:rPr>
              <w:t>Duras, l’impossible</w:t>
            </w:r>
            <w:r w:rsidRPr="00B05E83">
              <w:rPr>
                <w:b w:val="0"/>
                <w:smallCaps w:val="0"/>
              </w:rPr>
              <w:t xml:space="preserve">, Danielle Laurin (L. </w:t>
            </w:r>
            <w:proofErr w:type="spellStart"/>
            <w:r w:rsidRPr="00B05E83">
              <w:rPr>
                <w:b w:val="0"/>
                <w:smallCaps w:val="0"/>
              </w:rPr>
              <w:t>Upadhyay</w:t>
            </w:r>
            <w:proofErr w:type="spellEnd"/>
            <w:r w:rsidRPr="00B05E83">
              <w:rPr>
                <w:b w:val="0"/>
                <w:smallCaps w:val="0"/>
              </w:rPr>
              <w:t>)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151</w:t>
            </w:r>
          </w:p>
        </w:tc>
      </w:tr>
      <w:tr w:rsidR="007400D0" w:rsidRPr="00B05E83" w:rsidTr="00236961">
        <w:tc>
          <w:tcPr>
            <w:tcW w:w="5173" w:type="dxa"/>
          </w:tcPr>
          <w:p w:rsidR="007400D0" w:rsidRPr="00B05E83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smallCaps w:val="0"/>
              </w:rPr>
            </w:pPr>
            <w:r w:rsidRPr="00B05E83">
              <w:rPr>
                <w:b w:val="0"/>
                <w:i/>
                <w:smallCaps w:val="0"/>
              </w:rPr>
              <w:lastRenderedPageBreak/>
              <w:t>Filmer dit-elle</w:t>
            </w:r>
            <w:r w:rsidRPr="00B05E83">
              <w:rPr>
                <w:b w:val="0"/>
                <w:smallCaps w:val="0"/>
              </w:rPr>
              <w:t xml:space="preserve">. </w:t>
            </w:r>
            <w:r w:rsidRPr="00B05E83">
              <w:rPr>
                <w:b w:val="0"/>
                <w:i/>
                <w:smallCaps w:val="0"/>
              </w:rPr>
              <w:t>Le cinéma de Marguerite Duras</w:t>
            </w:r>
            <w:r w:rsidRPr="00A502CE">
              <w:rPr>
                <w:b w:val="0"/>
                <w:smallCaps w:val="0"/>
              </w:rPr>
              <w:t>, collectif</w:t>
            </w:r>
            <w:r w:rsidRPr="00B05E83">
              <w:rPr>
                <w:b w:val="0"/>
                <w:smallCaps w:val="0"/>
              </w:rPr>
              <w:t xml:space="preserve"> (C</w:t>
            </w:r>
            <w:r>
              <w:rPr>
                <w:b w:val="0"/>
                <w:smallCaps w:val="0"/>
              </w:rPr>
              <w:t>h</w:t>
            </w:r>
            <w:r w:rsidRPr="00B05E83">
              <w:rPr>
                <w:b w:val="0"/>
                <w:smallCaps w:val="0"/>
              </w:rPr>
              <w:t>.</w:t>
            </w:r>
            <w:r>
              <w:rPr>
                <w:b w:val="0"/>
                <w:smallCaps w:val="0"/>
              </w:rPr>
              <w:t xml:space="preserve"> </w:t>
            </w:r>
            <w:r w:rsidRPr="00B05E83">
              <w:rPr>
                <w:b w:val="0"/>
                <w:smallCaps w:val="0"/>
              </w:rPr>
              <w:t>Blot-</w:t>
            </w:r>
            <w:proofErr w:type="spellStart"/>
            <w:r w:rsidRPr="00B05E83">
              <w:rPr>
                <w:b w:val="0"/>
                <w:smallCaps w:val="0"/>
              </w:rPr>
              <w:t>Labarrère</w:t>
            </w:r>
            <w:proofErr w:type="spellEnd"/>
            <w:r w:rsidRPr="00B05E83">
              <w:rPr>
                <w:b w:val="0"/>
                <w:smallCaps w:val="0"/>
              </w:rPr>
              <w:t>)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154</w:t>
            </w:r>
          </w:p>
        </w:tc>
      </w:tr>
      <w:tr w:rsidR="007400D0" w:rsidRPr="004F3C4D" w:rsidTr="00236961">
        <w:tc>
          <w:tcPr>
            <w:tcW w:w="5173" w:type="dxa"/>
          </w:tcPr>
          <w:p w:rsidR="007400D0" w:rsidRPr="004F3C4D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smallCaps w:val="0"/>
                <w:lang w:val="en-GB"/>
              </w:rPr>
            </w:pPr>
            <w:r w:rsidRPr="00A25BDB">
              <w:rPr>
                <w:b w:val="0"/>
                <w:i/>
                <w:smallCaps w:val="0"/>
                <w:lang w:val="en-GB"/>
              </w:rPr>
              <w:t xml:space="preserve">Echo’s Voice: The Theatres of </w:t>
            </w:r>
            <w:proofErr w:type="spellStart"/>
            <w:r w:rsidRPr="00A25BDB">
              <w:rPr>
                <w:b w:val="0"/>
                <w:i/>
                <w:smallCaps w:val="0"/>
                <w:lang w:val="en-GB"/>
              </w:rPr>
              <w:t>Sarraute</w:t>
            </w:r>
            <w:proofErr w:type="spellEnd"/>
            <w:r w:rsidRPr="00A25BDB">
              <w:rPr>
                <w:b w:val="0"/>
                <w:i/>
                <w:smallCaps w:val="0"/>
                <w:lang w:val="en-GB"/>
              </w:rPr>
              <w:t xml:space="preserve">, </w:t>
            </w:r>
            <w:proofErr w:type="spellStart"/>
            <w:r w:rsidRPr="00A25BDB">
              <w:rPr>
                <w:b w:val="0"/>
                <w:i/>
                <w:smallCaps w:val="0"/>
                <w:lang w:val="en-GB"/>
              </w:rPr>
              <w:t>Duras</w:t>
            </w:r>
            <w:proofErr w:type="spellEnd"/>
            <w:r w:rsidRPr="00A25BDB">
              <w:rPr>
                <w:b w:val="0"/>
                <w:i/>
                <w:smallCaps w:val="0"/>
                <w:lang w:val="en-GB"/>
              </w:rPr>
              <w:t xml:space="preserve">, </w:t>
            </w:r>
            <w:proofErr w:type="spellStart"/>
            <w:r w:rsidRPr="00A25BDB">
              <w:rPr>
                <w:b w:val="0"/>
                <w:i/>
                <w:smallCaps w:val="0"/>
                <w:lang w:val="en-GB"/>
              </w:rPr>
              <w:t>Cixous</w:t>
            </w:r>
            <w:proofErr w:type="spellEnd"/>
            <w:r w:rsidRPr="00A25BDB">
              <w:rPr>
                <w:b w:val="0"/>
                <w:i/>
                <w:smallCaps w:val="0"/>
                <w:lang w:val="en-GB"/>
              </w:rPr>
              <w:t xml:space="preserve"> and </w:t>
            </w:r>
            <w:proofErr w:type="spellStart"/>
            <w:r w:rsidRPr="00A25BDB">
              <w:rPr>
                <w:b w:val="0"/>
                <w:i/>
                <w:smallCaps w:val="0"/>
                <w:lang w:val="en-GB"/>
              </w:rPr>
              <w:t>Renaude</w:t>
            </w:r>
            <w:proofErr w:type="spellEnd"/>
            <w:r>
              <w:rPr>
                <w:b w:val="0"/>
                <w:smallCaps w:val="0"/>
                <w:lang w:val="en-GB"/>
              </w:rPr>
              <w:t>, Mary Noonan</w:t>
            </w:r>
            <w:r w:rsidRPr="00A25BDB">
              <w:rPr>
                <w:b w:val="0"/>
                <w:smallCaps w:val="0"/>
                <w:lang w:val="en-GB"/>
              </w:rPr>
              <w:t xml:space="preserve"> </w:t>
            </w:r>
            <w:r w:rsidRPr="004F3C4D">
              <w:rPr>
                <w:b w:val="0"/>
                <w:smallCaps w:val="0"/>
                <w:lang w:val="en-GB"/>
              </w:rPr>
              <w:t xml:space="preserve">(I. </w:t>
            </w:r>
            <w:proofErr w:type="spellStart"/>
            <w:r w:rsidRPr="004F3C4D">
              <w:rPr>
                <w:b w:val="0"/>
                <w:smallCaps w:val="0"/>
                <w:lang w:val="en-GB"/>
              </w:rPr>
              <w:t>Meerstein-Denhez</w:t>
            </w:r>
            <w:proofErr w:type="spellEnd"/>
            <w:r w:rsidRPr="004F3C4D">
              <w:rPr>
                <w:b w:val="0"/>
                <w:smallCaps w:val="0"/>
                <w:lang w:val="en-GB"/>
              </w:rPr>
              <w:t>)</w:t>
            </w:r>
            <w:r w:rsidRPr="004F3C4D">
              <w:rPr>
                <w:lang w:val="en-GB"/>
              </w:rPr>
              <w:t xml:space="preserve"> 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  <w:lang w:val="en-GB"/>
              </w:rPr>
            </w:pPr>
            <w:r>
              <w:rPr>
                <w:b w:val="0"/>
                <w:bCs w:val="0"/>
                <w:smallCaps w:val="0"/>
                <w:lang w:val="en-GB"/>
              </w:rPr>
              <w:t>158</w:t>
            </w:r>
          </w:p>
        </w:tc>
      </w:tr>
      <w:tr w:rsidR="007400D0" w:rsidRPr="00AF095E" w:rsidTr="00236961">
        <w:tc>
          <w:tcPr>
            <w:tcW w:w="5173" w:type="dxa"/>
          </w:tcPr>
          <w:p w:rsidR="007400D0" w:rsidRPr="004F3C4D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smallCaps w:val="0"/>
              </w:rPr>
            </w:pPr>
            <w:r w:rsidRPr="004F3C4D">
              <w:rPr>
                <w:b w:val="0"/>
                <w:i/>
                <w:smallCaps w:val="0"/>
              </w:rPr>
              <w:t xml:space="preserve">Duras, le centenaire. Télérama hors-série </w:t>
            </w:r>
            <w:r w:rsidRPr="004F3C4D">
              <w:rPr>
                <w:b w:val="0"/>
                <w:smallCaps w:val="0"/>
              </w:rPr>
              <w:t>(L.</w:t>
            </w:r>
            <w:r>
              <w:rPr>
                <w:b w:val="0"/>
                <w:smallCaps w:val="0"/>
              </w:rPr>
              <w:t> </w:t>
            </w:r>
            <w:proofErr w:type="spellStart"/>
            <w:r w:rsidRPr="004F3C4D">
              <w:rPr>
                <w:b w:val="0"/>
                <w:smallCaps w:val="0"/>
              </w:rPr>
              <w:t>Upadhyay</w:t>
            </w:r>
            <w:proofErr w:type="spellEnd"/>
            <w:r w:rsidRPr="004F3C4D">
              <w:rPr>
                <w:b w:val="0"/>
                <w:smallCaps w:val="0"/>
              </w:rPr>
              <w:t xml:space="preserve">) 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161</w:t>
            </w:r>
          </w:p>
        </w:tc>
      </w:tr>
      <w:tr w:rsidR="007400D0" w:rsidRPr="00AF095E" w:rsidTr="00236961">
        <w:tc>
          <w:tcPr>
            <w:tcW w:w="5173" w:type="dxa"/>
          </w:tcPr>
          <w:p w:rsidR="007400D0" w:rsidRPr="004B0E80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smallCaps w:val="0"/>
              </w:rPr>
            </w:pPr>
            <w:r w:rsidRPr="004B0E80">
              <w:rPr>
                <w:b w:val="0"/>
                <w:i/>
                <w:smallCaps w:val="0"/>
              </w:rPr>
              <w:t>Marguerite Duras</w:t>
            </w:r>
            <w:r w:rsidRPr="004B0E80">
              <w:rPr>
                <w:b w:val="0"/>
                <w:smallCaps w:val="0"/>
              </w:rPr>
              <w:t xml:space="preserve">, </w:t>
            </w:r>
            <w:r w:rsidRPr="004B0E80">
              <w:rPr>
                <w:b w:val="0"/>
                <w:i/>
                <w:smallCaps w:val="0"/>
              </w:rPr>
              <w:t>Initiales 3</w:t>
            </w:r>
            <w:r>
              <w:rPr>
                <w:b w:val="0"/>
                <w:i/>
                <w:smallCaps w:val="0"/>
              </w:rPr>
              <w:t xml:space="preserve"> </w:t>
            </w:r>
            <w:r w:rsidRPr="004B0E80">
              <w:rPr>
                <w:b w:val="0"/>
                <w:smallCaps w:val="0"/>
              </w:rPr>
              <w:t>(D. Villeneuve)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165</w:t>
            </w:r>
          </w:p>
        </w:tc>
      </w:tr>
      <w:tr w:rsidR="007400D0" w:rsidRPr="00AB3A6C" w:rsidTr="00236961">
        <w:tc>
          <w:tcPr>
            <w:tcW w:w="5173" w:type="dxa"/>
          </w:tcPr>
          <w:p w:rsidR="007400D0" w:rsidRPr="00EF0E22" w:rsidRDefault="007400D0" w:rsidP="00236961">
            <w:pPr>
              <w:widowControl/>
              <w:spacing w:before="80"/>
              <w:jc w:val="both"/>
              <w:rPr>
                <w:lang w:val="fr-FR"/>
              </w:rPr>
            </w:pPr>
            <w:r w:rsidRPr="00FD0B59">
              <w:rPr>
                <w:bCs/>
                <w:i/>
                <w:sz w:val="22"/>
                <w:szCs w:val="22"/>
                <w:lang w:val="fr-FR"/>
              </w:rPr>
              <w:t>Relectures du</w:t>
            </w:r>
            <w:r w:rsidRPr="00FD0B59">
              <w:rPr>
                <w:bCs/>
                <w:sz w:val="22"/>
                <w:szCs w:val="22"/>
                <w:lang w:val="fr-FR"/>
              </w:rPr>
              <w:t xml:space="preserve"> Ravissement de </w:t>
            </w:r>
            <w:proofErr w:type="spellStart"/>
            <w:r w:rsidRPr="00FD0B59">
              <w:rPr>
                <w:bCs/>
                <w:sz w:val="22"/>
                <w:szCs w:val="22"/>
                <w:lang w:val="fr-FR"/>
              </w:rPr>
              <w:t>Lol</w:t>
            </w:r>
            <w:proofErr w:type="spellEnd"/>
            <w:r w:rsidRPr="00FD0B59">
              <w:rPr>
                <w:bCs/>
                <w:sz w:val="22"/>
                <w:szCs w:val="22"/>
                <w:lang w:val="fr-FR"/>
              </w:rPr>
              <w:t xml:space="preserve"> V. Stein </w:t>
            </w:r>
            <w:r w:rsidRPr="00FD0B59">
              <w:rPr>
                <w:bCs/>
                <w:i/>
                <w:sz w:val="22"/>
                <w:szCs w:val="22"/>
                <w:lang w:val="fr-FR"/>
              </w:rPr>
              <w:t>de Marguerite Duras, Autour de la différence sexuelle</w:t>
            </w:r>
            <w:r>
              <w:rPr>
                <w:bCs/>
                <w:sz w:val="22"/>
                <w:szCs w:val="22"/>
                <w:lang w:val="fr-FR"/>
              </w:rPr>
              <w:t>,</w:t>
            </w:r>
            <w:r w:rsidRPr="00FD0B59">
              <w:rPr>
                <w:bCs/>
                <w:sz w:val="22"/>
                <w:szCs w:val="22"/>
                <w:lang w:val="fr-FR"/>
              </w:rPr>
              <w:t xml:space="preserve"> Akiko Ueda (</w:t>
            </w:r>
            <w:r w:rsidRPr="00FD0B59">
              <w:rPr>
                <w:sz w:val="22"/>
                <w:szCs w:val="22"/>
                <w:lang w:val="fr-FR"/>
              </w:rPr>
              <w:t>P</w:t>
            </w:r>
            <w:r>
              <w:rPr>
                <w:sz w:val="22"/>
                <w:szCs w:val="22"/>
                <w:lang w:val="fr-FR"/>
              </w:rPr>
              <w:t>h</w:t>
            </w:r>
            <w:r w:rsidRPr="00FD0B59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FD0B59">
              <w:rPr>
                <w:sz w:val="22"/>
                <w:szCs w:val="22"/>
                <w:lang w:val="fr-FR"/>
              </w:rPr>
              <w:t>Pansiot</w:t>
            </w:r>
            <w:proofErr w:type="spellEnd"/>
            <w:r w:rsidRPr="00FD0B59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D0B59">
              <w:rPr>
                <w:sz w:val="22"/>
                <w:szCs w:val="22"/>
                <w:lang w:val="fr-FR"/>
              </w:rPr>
              <w:t>Preud’homme</w:t>
            </w:r>
            <w:proofErr w:type="spellEnd"/>
            <w:r w:rsidRPr="00FD0B59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168</w:t>
            </w:r>
          </w:p>
        </w:tc>
      </w:tr>
      <w:tr w:rsidR="007400D0" w:rsidRPr="009301FC" w:rsidTr="00236961">
        <w:tc>
          <w:tcPr>
            <w:tcW w:w="5173" w:type="dxa"/>
          </w:tcPr>
          <w:p w:rsidR="007400D0" w:rsidRPr="00C607AC" w:rsidRDefault="007400D0" w:rsidP="00236961">
            <w:pPr>
              <w:pStyle w:val="Heading1"/>
              <w:keepNext w:val="0"/>
              <w:widowControl/>
              <w:spacing w:before="120"/>
              <w:rPr>
                <w:smallCaps w:val="0"/>
              </w:rPr>
            </w:pPr>
            <w:r>
              <w:rPr>
                <w:smallCaps w:val="0"/>
              </w:rPr>
              <w:t>Hors Cadre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120"/>
              <w:rPr>
                <w:b w:val="0"/>
                <w:bCs w:val="0"/>
                <w:smallCaps w:val="0"/>
              </w:rPr>
            </w:pPr>
          </w:p>
        </w:tc>
      </w:tr>
      <w:tr w:rsidR="007400D0" w:rsidRPr="00AB3A6C" w:rsidTr="00236961">
        <w:tc>
          <w:tcPr>
            <w:tcW w:w="5173" w:type="dxa"/>
          </w:tcPr>
          <w:p w:rsidR="007400D0" w:rsidRPr="00FD0B59" w:rsidRDefault="007400D0" w:rsidP="00236961">
            <w:pPr>
              <w:widowControl/>
              <w:spacing w:before="80"/>
              <w:jc w:val="both"/>
              <w:rPr>
                <w:lang w:val="fr-FR"/>
              </w:rPr>
            </w:pPr>
            <w:r w:rsidRPr="00FD0B59">
              <w:rPr>
                <w:sz w:val="22"/>
                <w:szCs w:val="22"/>
                <w:lang w:val="fr-FR"/>
              </w:rPr>
              <w:t xml:space="preserve">Texte de Chantal </w:t>
            </w:r>
            <w:proofErr w:type="spellStart"/>
            <w:r w:rsidRPr="00FD0B59">
              <w:rPr>
                <w:sz w:val="22"/>
                <w:szCs w:val="22"/>
                <w:lang w:val="fr-FR"/>
              </w:rPr>
              <w:t>Chawaf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177</w:t>
            </w:r>
          </w:p>
        </w:tc>
      </w:tr>
      <w:tr w:rsidR="007400D0" w:rsidRPr="00AF095E" w:rsidTr="00236961">
        <w:tc>
          <w:tcPr>
            <w:tcW w:w="5173" w:type="dxa"/>
          </w:tcPr>
          <w:p w:rsidR="007400D0" w:rsidRPr="0082308D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smallCaps w:val="0"/>
              </w:rPr>
            </w:pPr>
            <w:r w:rsidRPr="0082308D">
              <w:rPr>
                <w:b w:val="0"/>
                <w:smallCaps w:val="0"/>
              </w:rPr>
              <w:t xml:space="preserve">« ‘Écrire, dit-elle’, Notes sur Marguerite Duras », </w:t>
            </w:r>
            <w:proofErr w:type="spellStart"/>
            <w:r w:rsidRPr="0082308D">
              <w:rPr>
                <w:b w:val="0"/>
                <w:smallCaps w:val="0"/>
              </w:rPr>
              <w:t>Silke</w:t>
            </w:r>
            <w:proofErr w:type="spellEnd"/>
            <w:r w:rsidRPr="0082308D">
              <w:rPr>
                <w:b w:val="0"/>
                <w:smallCaps w:val="0"/>
              </w:rPr>
              <w:t xml:space="preserve"> </w:t>
            </w:r>
            <w:proofErr w:type="spellStart"/>
            <w:r w:rsidRPr="0082308D">
              <w:rPr>
                <w:b w:val="0"/>
                <w:smallCaps w:val="0"/>
              </w:rPr>
              <w:t>Schauder</w:t>
            </w:r>
            <w:proofErr w:type="spellEnd"/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179</w:t>
            </w:r>
          </w:p>
        </w:tc>
      </w:tr>
      <w:tr w:rsidR="007400D0" w:rsidRPr="009301FC" w:rsidTr="00236961">
        <w:tc>
          <w:tcPr>
            <w:tcW w:w="5173" w:type="dxa"/>
          </w:tcPr>
          <w:p w:rsidR="007400D0" w:rsidRPr="001A3367" w:rsidRDefault="007400D0" w:rsidP="00236961">
            <w:pPr>
              <w:widowControl/>
              <w:spacing w:before="120"/>
              <w:jc w:val="both"/>
              <w:rPr>
                <w:b/>
                <w:lang w:val="fr-FR"/>
              </w:rPr>
            </w:pPr>
            <w:proofErr w:type="spellStart"/>
            <w:r w:rsidRPr="001A3367">
              <w:rPr>
                <w:b/>
                <w:sz w:val="22"/>
                <w:szCs w:val="22"/>
              </w:rPr>
              <w:t>Recherche</w:t>
            </w:r>
            <w:proofErr w:type="spellEnd"/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120"/>
              <w:rPr>
                <w:b w:val="0"/>
                <w:bCs w:val="0"/>
                <w:smallCaps w:val="0"/>
              </w:rPr>
            </w:pPr>
          </w:p>
        </w:tc>
      </w:tr>
      <w:tr w:rsidR="007400D0" w:rsidRPr="00AF095E" w:rsidTr="00236961">
        <w:tc>
          <w:tcPr>
            <w:tcW w:w="5173" w:type="dxa"/>
          </w:tcPr>
          <w:p w:rsidR="007400D0" w:rsidRPr="007C4CE0" w:rsidRDefault="007400D0" w:rsidP="00236961">
            <w:pPr>
              <w:widowControl/>
              <w:spacing w:before="80"/>
              <w:jc w:val="both"/>
              <w:rPr>
                <w:lang w:val="fr-FR"/>
              </w:rPr>
            </w:pPr>
            <w:r w:rsidRPr="007C4CE0">
              <w:rPr>
                <w:bCs/>
                <w:sz w:val="22"/>
                <w:szCs w:val="22"/>
                <w:lang w:val="fr-FR"/>
              </w:rPr>
              <w:t xml:space="preserve">« Emprunter la ‘route aveugle’. </w:t>
            </w:r>
            <w:r w:rsidRPr="007C4CE0">
              <w:rPr>
                <w:sz w:val="22"/>
                <w:szCs w:val="22"/>
                <w:lang w:val="fr-FR"/>
              </w:rPr>
              <w:t xml:space="preserve">L’acte sexuel chez Marguerite Duras », </w:t>
            </w:r>
            <w:r w:rsidRPr="007C4CE0">
              <w:rPr>
                <w:rStyle w:val="Policepardfaut"/>
                <w:sz w:val="22"/>
                <w:szCs w:val="22"/>
                <w:lang w:val="fr-FR"/>
              </w:rPr>
              <w:t xml:space="preserve">Corentin </w:t>
            </w:r>
            <w:proofErr w:type="spellStart"/>
            <w:r w:rsidRPr="007C4CE0">
              <w:rPr>
                <w:rStyle w:val="Policepardfaut"/>
                <w:sz w:val="22"/>
                <w:szCs w:val="22"/>
                <w:lang w:val="fr-FR"/>
              </w:rPr>
              <w:t>Lahouste</w:t>
            </w:r>
            <w:proofErr w:type="spellEnd"/>
            <w:r w:rsidRPr="007C4CE0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8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189</w:t>
            </w:r>
          </w:p>
        </w:tc>
      </w:tr>
      <w:tr w:rsidR="007400D0" w:rsidRPr="00AF095E" w:rsidTr="00236961">
        <w:tc>
          <w:tcPr>
            <w:tcW w:w="5173" w:type="dxa"/>
          </w:tcPr>
          <w:p w:rsidR="007400D0" w:rsidRPr="007C4CE0" w:rsidRDefault="007400D0" w:rsidP="00236961">
            <w:pPr>
              <w:widowControl/>
              <w:spacing w:before="120"/>
              <w:jc w:val="both"/>
              <w:rPr>
                <w:bCs/>
                <w:lang w:val="fr-FR"/>
              </w:rPr>
            </w:pPr>
            <w:r w:rsidRPr="007C4CE0">
              <w:rPr>
                <w:b/>
                <w:bCs/>
                <w:sz w:val="22"/>
                <w:szCs w:val="22"/>
                <w:lang w:val="fr-FR"/>
              </w:rPr>
              <w:t>Rubrique pour la soumission d’articles au Bulletin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12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203</w:t>
            </w:r>
          </w:p>
        </w:tc>
      </w:tr>
      <w:tr w:rsidR="007400D0" w:rsidRPr="00AF095E" w:rsidTr="00236961">
        <w:tc>
          <w:tcPr>
            <w:tcW w:w="5173" w:type="dxa"/>
          </w:tcPr>
          <w:p w:rsidR="007400D0" w:rsidRPr="007C4CE0" w:rsidRDefault="007400D0" w:rsidP="00236961">
            <w:pPr>
              <w:widowControl/>
              <w:spacing w:before="120"/>
              <w:jc w:val="both"/>
              <w:rPr>
                <w:b/>
                <w:bCs/>
                <w:lang w:val="fr-FR"/>
              </w:rPr>
            </w:pPr>
            <w:r w:rsidRPr="007C4CE0">
              <w:rPr>
                <w:b/>
                <w:sz w:val="22"/>
                <w:szCs w:val="22"/>
                <w:lang w:val="fr-FR"/>
              </w:rPr>
              <w:t>Fiche d’adhésion à la Société Internationale Marguerite Duras</w:t>
            </w:r>
          </w:p>
        </w:tc>
        <w:tc>
          <w:tcPr>
            <w:tcW w:w="531" w:type="dxa"/>
          </w:tcPr>
          <w:p w:rsidR="007400D0" w:rsidRPr="00874AB8" w:rsidRDefault="007400D0" w:rsidP="00236961">
            <w:pPr>
              <w:pStyle w:val="Heading1"/>
              <w:keepNext w:val="0"/>
              <w:widowControl/>
              <w:spacing w:before="120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208</w:t>
            </w:r>
          </w:p>
        </w:tc>
      </w:tr>
    </w:tbl>
    <w:p w:rsidR="007400D0" w:rsidRDefault="007400D0" w:rsidP="007400D0">
      <w:pPr>
        <w:widowControl/>
        <w:spacing w:before="80"/>
        <w:jc w:val="both"/>
        <w:rPr>
          <w:sz w:val="22"/>
          <w:szCs w:val="22"/>
          <w:lang w:val="fr-FR"/>
        </w:rPr>
      </w:pPr>
      <w:bookmarkStart w:id="0" w:name="_GoBack"/>
      <w:bookmarkEnd w:id="0"/>
    </w:p>
    <w:sectPr w:rsidR="00740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D0"/>
    <w:rsid w:val="00642495"/>
    <w:rsid w:val="007400D0"/>
    <w:rsid w:val="009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D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0D0"/>
    <w:pPr>
      <w:keepNext/>
      <w:jc w:val="both"/>
      <w:outlineLvl w:val="0"/>
    </w:pPr>
    <w:rPr>
      <w:b/>
      <w:bCs/>
      <w:smallCaps/>
      <w:sz w:val="22"/>
      <w:szCs w:val="22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00D0"/>
    <w:pPr>
      <w:keepNext/>
      <w:spacing w:before="80"/>
      <w:jc w:val="center"/>
      <w:outlineLvl w:val="5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00D0"/>
    <w:rPr>
      <w:rFonts w:ascii="Times New Roman" w:eastAsia="Times New Roman" w:hAnsi="Times New Roman" w:cs="Times New Roman"/>
      <w:b/>
      <w:bCs/>
      <w:smallCaps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7400D0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99"/>
    <w:rsid w:val="007400D0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rsid w:val="007400D0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rsid w:val="007400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D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400D0"/>
    <w:rPr>
      <w:rFonts w:ascii="Times New Roman" w:hAnsi="Times New Roman" w:cs="Times New Roman"/>
      <w:b/>
      <w:bCs/>
    </w:rPr>
  </w:style>
  <w:style w:type="paragraph" w:customStyle="1" w:styleId="Standard">
    <w:name w:val="Standard"/>
    <w:uiPriority w:val="99"/>
    <w:rsid w:val="007400D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character" w:customStyle="1" w:styleId="Policepardfaut">
    <w:name w:val="Police par défaut"/>
    <w:uiPriority w:val="99"/>
    <w:rsid w:val="00740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D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0D0"/>
    <w:pPr>
      <w:keepNext/>
      <w:jc w:val="both"/>
      <w:outlineLvl w:val="0"/>
    </w:pPr>
    <w:rPr>
      <w:b/>
      <w:bCs/>
      <w:smallCaps/>
      <w:sz w:val="22"/>
      <w:szCs w:val="22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00D0"/>
    <w:pPr>
      <w:keepNext/>
      <w:spacing w:before="80"/>
      <w:jc w:val="center"/>
      <w:outlineLvl w:val="5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00D0"/>
    <w:rPr>
      <w:rFonts w:ascii="Times New Roman" w:eastAsia="Times New Roman" w:hAnsi="Times New Roman" w:cs="Times New Roman"/>
      <w:b/>
      <w:bCs/>
      <w:smallCaps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7400D0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99"/>
    <w:rsid w:val="007400D0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rsid w:val="007400D0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rsid w:val="007400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D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400D0"/>
    <w:rPr>
      <w:rFonts w:ascii="Times New Roman" w:hAnsi="Times New Roman" w:cs="Times New Roman"/>
      <w:b/>
      <w:bCs/>
    </w:rPr>
  </w:style>
  <w:style w:type="paragraph" w:customStyle="1" w:styleId="Standard">
    <w:name w:val="Standard"/>
    <w:uiPriority w:val="99"/>
    <w:rsid w:val="007400D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character" w:customStyle="1" w:styleId="Policepardfaut">
    <w:name w:val="Police par défaut"/>
    <w:uiPriority w:val="99"/>
    <w:rsid w:val="0074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UDRIS</dc:creator>
  <cp:lastModifiedBy>UDRIS</cp:lastModifiedBy>
  <cp:revision>2</cp:revision>
  <dcterms:created xsi:type="dcterms:W3CDTF">2016-04-09T17:12:00Z</dcterms:created>
  <dcterms:modified xsi:type="dcterms:W3CDTF">2016-04-09T17:13:00Z</dcterms:modified>
</cp:coreProperties>
</file>